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42C" w:rsidRPr="004028F7" w:rsidRDefault="00BE042C" w:rsidP="00B81DDF">
      <w:pPr>
        <w:pStyle w:val="a3"/>
        <w:shd w:val="clear" w:color="auto" w:fill="FFFFFF"/>
        <w:spacing w:before="0" w:beforeAutospacing="0" w:after="0" w:afterAutospacing="0"/>
        <w:ind w:left="5387"/>
        <w:rPr>
          <w:rStyle w:val="a4"/>
          <w:b w:val="0"/>
          <w:color w:val="262626"/>
          <w:sz w:val="28"/>
          <w:szCs w:val="28"/>
        </w:rPr>
      </w:pPr>
      <w:r w:rsidRPr="004028F7">
        <w:rPr>
          <w:rStyle w:val="a4"/>
          <w:b w:val="0"/>
          <w:color w:val="262626"/>
          <w:sz w:val="28"/>
          <w:szCs w:val="28"/>
        </w:rPr>
        <w:t>УТВЕРЖДЁН</w:t>
      </w:r>
    </w:p>
    <w:p w:rsidR="00BE042C" w:rsidRPr="004028F7" w:rsidRDefault="00BE042C" w:rsidP="00B81DDF">
      <w:pPr>
        <w:pStyle w:val="a3"/>
        <w:shd w:val="clear" w:color="auto" w:fill="FFFFFF"/>
        <w:spacing w:before="0" w:beforeAutospacing="0" w:after="0" w:afterAutospacing="0"/>
        <w:ind w:left="5387"/>
        <w:rPr>
          <w:rStyle w:val="a4"/>
          <w:b w:val="0"/>
          <w:color w:val="262626"/>
          <w:sz w:val="28"/>
          <w:szCs w:val="28"/>
        </w:rPr>
      </w:pPr>
      <w:r w:rsidRPr="004028F7">
        <w:rPr>
          <w:rStyle w:val="a4"/>
          <w:b w:val="0"/>
          <w:color w:val="262626"/>
          <w:sz w:val="28"/>
          <w:szCs w:val="28"/>
        </w:rPr>
        <w:t xml:space="preserve">протоколом рабочей группы по вопросам оценки эффективности функционирования антимонопольного </w:t>
      </w:r>
      <w:proofErr w:type="spellStart"/>
      <w:r w:rsidRPr="004028F7">
        <w:rPr>
          <w:rStyle w:val="a4"/>
          <w:b w:val="0"/>
          <w:color w:val="262626"/>
          <w:sz w:val="28"/>
          <w:szCs w:val="28"/>
        </w:rPr>
        <w:t>комплаенса</w:t>
      </w:r>
      <w:proofErr w:type="spellEnd"/>
      <w:r w:rsidRPr="004028F7">
        <w:rPr>
          <w:rStyle w:val="a4"/>
          <w:b w:val="0"/>
          <w:color w:val="262626"/>
          <w:sz w:val="28"/>
          <w:szCs w:val="28"/>
        </w:rPr>
        <w:t xml:space="preserve"> в Администрации </w:t>
      </w:r>
      <w:proofErr w:type="spellStart"/>
      <w:r w:rsidRPr="004028F7">
        <w:rPr>
          <w:rStyle w:val="a4"/>
          <w:b w:val="0"/>
          <w:color w:val="262626"/>
          <w:sz w:val="28"/>
          <w:szCs w:val="28"/>
        </w:rPr>
        <w:t>Колпашевского</w:t>
      </w:r>
      <w:proofErr w:type="spellEnd"/>
      <w:r w:rsidRPr="004028F7">
        <w:rPr>
          <w:rStyle w:val="a4"/>
          <w:b w:val="0"/>
          <w:color w:val="262626"/>
          <w:sz w:val="28"/>
          <w:szCs w:val="28"/>
        </w:rPr>
        <w:t xml:space="preserve"> р</w:t>
      </w:r>
      <w:r w:rsidR="00E80D2A" w:rsidRPr="004028F7">
        <w:rPr>
          <w:rStyle w:val="a4"/>
          <w:b w:val="0"/>
          <w:color w:val="262626"/>
          <w:sz w:val="28"/>
          <w:szCs w:val="28"/>
        </w:rPr>
        <w:t>айона</w:t>
      </w:r>
    </w:p>
    <w:p w:rsidR="00E80D2A" w:rsidRPr="004028F7" w:rsidRDefault="00C414B8" w:rsidP="00B81DDF">
      <w:pPr>
        <w:pStyle w:val="a3"/>
        <w:shd w:val="clear" w:color="auto" w:fill="FFFFFF"/>
        <w:spacing w:before="0" w:beforeAutospacing="0" w:after="0" w:afterAutospacing="0"/>
        <w:ind w:left="5387"/>
        <w:rPr>
          <w:rStyle w:val="a4"/>
          <w:color w:val="262626"/>
          <w:sz w:val="28"/>
          <w:szCs w:val="28"/>
        </w:rPr>
      </w:pPr>
      <w:r>
        <w:rPr>
          <w:rStyle w:val="a4"/>
          <w:b w:val="0"/>
          <w:color w:val="262626"/>
          <w:sz w:val="28"/>
          <w:szCs w:val="28"/>
        </w:rPr>
        <w:t>от 28.02.2023 № 3</w:t>
      </w:r>
    </w:p>
    <w:p w:rsidR="00E80D2A" w:rsidRPr="004028F7" w:rsidRDefault="00E80D2A" w:rsidP="00B81DD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62626"/>
          <w:sz w:val="28"/>
          <w:szCs w:val="28"/>
        </w:rPr>
      </w:pPr>
    </w:p>
    <w:p w:rsidR="00E80D2A" w:rsidRPr="004028F7" w:rsidRDefault="00E80D2A" w:rsidP="00B81DD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62626"/>
          <w:sz w:val="28"/>
          <w:szCs w:val="28"/>
        </w:rPr>
      </w:pPr>
    </w:p>
    <w:p w:rsidR="00430BC7" w:rsidRPr="004028F7" w:rsidRDefault="00430BC7" w:rsidP="00B81DDF">
      <w:pPr>
        <w:pStyle w:val="a3"/>
        <w:shd w:val="clear" w:color="auto" w:fill="FFFFFF"/>
        <w:spacing w:before="0" w:beforeAutospacing="0" w:after="0" w:afterAutospacing="0"/>
        <w:jc w:val="center"/>
        <w:rPr>
          <w:color w:val="262626"/>
          <w:sz w:val="28"/>
          <w:szCs w:val="28"/>
        </w:rPr>
      </w:pPr>
      <w:r w:rsidRPr="004028F7">
        <w:rPr>
          <w:rStyle w:val="a4"/>
          <w:color w:val="262626"/>
          <w:sz w:val="28"/>
          <w:szCs w:val="28"/>
        </w:rPr>
        <w:t>Доклад</w:t>
      </w:r>
    </w:p>
    <w:p w:rsidR="005D55DD" w:rsidRPr="004028F7" w:rsidRDefault="00430BC7" w:rsidP="00B81DD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62626"/>
          <w:sz w:val="28"/>
          <w:szCs w:val="28"/>
        </w:rPr>
      </w:pPr>
      <w:r w:rsidRPr="004028F7">
        <w:rPr>
          <w:rStyle w:val="a4"/>
          <w:color w:val="262626"/>
          <w:sz w:val="28"/>
          <w:szCs w:val="28"/>
        </w:rPr>
        <w:t xml:space="preserve">об </w:t>
      </w:r>
      <w:r w:rsidR="0099565E" w:rsidRPr="004028F7">
        <w:rPr>
          <w:rStyle w:val="a4"/>
          <w:color w:val="262626"/>
          <w:sz w:val="28"/>
          <w:szCs w:val="28"/>
        </w:rPr>
        <w:t xml:space="preserve">антимонопольном </w:t>
      </w:r>
      <w:proofErr w:type="spellStart"/>
      <w:r w:rsidR="0099565E" w:rsidRPr="004028F7">
        <w:rPr>
          <w:rStyle w:val="a4"/>
          <w:color w:val="262626"/>
          <w:sz w:val="28"/>
          <w:szCs w:val="28"/>
        </w:rPr>
        <w:t>комплаенсе</w:t>
      </w:r>
      <w:proofErr w:type="spellEnd"/>
      <w:r w:rsidR="005D55DD" w:rsidRPr="004028F7">
        <w:rPr>
          <w:rStyle w:val="a4"/>
          <w:color w:val="262626"/>
          <w:sz w:val="28"/>
          <w:szCs w:val="28"/>
        </w:rPr>
        <w:t xml:space="preserve"> </w:t>
      </w:r>
    </w:p>
    <w:p w:rsidR="00430BC7" w:rsidRPr="004028F7" w:rsidRDefault="005D55DD" w:rsidP="00B81DD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62626"/>
          <w:sz w:val="28"/>
          <w:szCs w:val="28"/>
        </w:rPr>
      </w:pPr>
      <w:r w:rsidRPr="004028F7">
        <w:rPr>
          <w:rStyle w:val="a4"/>
          <w:color w:val="262626"/>
          <w:sz w:val="28"/>
          <w:szCs w:val="28"/>
        </w:rPr>
        <w:t xml:space="preserve">в Администрации </w:t>
      </w:r>
      <w:proofErr w:type="spellStart"/>
      <w:r w:rsidRPr="004028F7">
        <w:rPr>
          <w:rStyle w:val="a4"/>
          <w:color w:val="262626"/>
          <w:sz w:val="28"/>
          <w:szCs w:val="28"/>
        </w:rPr>
        <w:t>Колпашевского</w:t>
      </w:r>
      <w:proofErr w:type="spellEnd"/>
      <w:r w:rsidRPr="004028F7">
        <w:rPr>
          <w:rStyle w:val="a4"/>
          <w:color w:val="262626"/>
          <w:sz w:val="28"/>
          <w:szCs w:val="28"/>
        </w:rPr>
        <w:t xml:space="preserve"> района</w:t>
      </w:r>
    </w:p>
    <w:p w:rsidR="00430BC7" w:rsidRPr="004028F7" w:rsidRDefault="00C414B8" w:rsidP="00B81DDF">
      <w:pPr>
        <w:pStyle w:val="a3"/>
        <w:shd w:val="clear" w:color="auto" w:fill="FFFFFF"/>
        <w:spacing w:before="0" w:beforeAutospacing="0" w:after="0" w:afterAutospacing="0"/>
        <w:jc w:val="center"/>
        <w:rPr>
          <w:color w:val="262626"/>
          <w:sz w:val="28"/>
          <w:szCs w:val="28"/>
        </w:rPr>
      </w:pPr>
      <w:r>
        <w:rPr>
          <w:rStyle w:val="a4"/>
          <w:b w:val="0"/>
          <w:color w:val="262626"/>
          <w:sz w:val="28"/>
          <w:szCs w:val="28"/>
        </w:rPr>
        <w:t>за 2022</w:t>
      </w:r>
      <w:r w:rsidR="006D0BE5" w:rsidRPr="004028F7">
        <w:rPr>
          <w:rStyle w:val="a4"/>
          <w:b w:val="0"/>
          <w:color w:val="262626"/>
          <w:sz w:val="28"/>
          <w:szCs w:val="28"/>
        </w:rPr>
        <w:t xml:space="preserve"> год</w:t>
      </w:r>
    </w:p>
    <w:p w:rsidR="008434F6" w:rsidRPr="004028F7" w:rsidRDefault="008434F6" w:rsidP="00B81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0D2A" w:rsidRPr="004028F7" w:rsidRDefault="00E80D2A" w:rsidP="00B81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F7">
        <w:rPr>
          <w:rFonts w:ascii="Times New Roman" w:hAnsi="Times New Roman" w:cs="Times New Roman"/>
          <w:sz w:val="28"/>
          <w:szCs w:val="28"/>
        </w:rPr>
        <w:t xml:space="preserve">Система внутреннего обеспечения соответствия требованиям антимонопольного законодательства деятельности Администрации </w:t>
      </w:r>
      <w:proofErr w:type="spellStart"/>
      <w:r w:rsidRPr="004028F7">
        <w:rPr>
          <w:rFonts w:ascii="Times New Roman" w:hAnsi="Times New Roman" w:cs="Times New Roman"/>
          <w:sz w:val="28"/>
          <w:szCs w:val="28"/>
        </w:rPr>
        <w:t>Колпашевского</w:t>
      </w:r>
      <w:proofErr w:type="spellEnd"/>
      <w:r w:rsidRPr="004028F7">
        <w:rPr>
          <w:rFonts w:ascii="Times New Roman" w:hAnsi="Times New Roman" w:cs="Times New Roman"/>
          <w:sz w:val="28"/>
          <w:szCs w:val="28"/>
        </w:rPr>
        <w:t xml:space="preserve"> района организована на основании следующих документов:</w:t>
      </w:r>
    </w:p>
    <w:p w:rsidR="00E80D2A" w:rsidRPr="004028F7" w:rsidRDefault="00E80D2A" w:rsidP="00B81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F7">
        <w:rPr>
          <w:rFonts w:ascii="Times New Roman" w:hAnsi="Times New Roman" w:cs="Times New Roman"/>
          <w:sz w:val="28"/>
          <w:szCs w:val="28"/>
        </w:rPr>
        <w:t>1) распоряжение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законодательства»;</w:t>
      </w:r>
    </w:p>
    <w:p w:rsidR="00E80D2A" w:rsidRPr="004028F7" w:rsidRDefault="00E80D2A" w:rsidP="00B81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F7">
        <w:rPr>
          <w:rFonts w:ascii="Times New Roman" w:hAnsi="Times New Roman" w:cs="Times New Roman"/>
          <w:sz w:val="28"/>
          <w:szCs w:val="28"/>
        </w:rPr>
        <w:t>2) распоряжение Губернатора Томской области от 27.02.2019 № 44-р «О создании и организации системы внутреннего обеспечения соответствия требованиям антимонопольного законодательства в исполнительных органах государственной власти Томской области»</w:t>
      </w:r>
      <w:r w:rsidR="00DE3000" w:rsidRPr="004028F7">
        <w:rPr>
          <w:rFonts w:ascii="Times New Roman" w:hAnsi="Times New Roman" w:cs="Times New Roman"/>
          <w:sz w:val="28"/>
          <w:szCs w:val="28"/>
        </w:rPr>
        <w:t>;</w:t>
      </w:r>
    </w:p>
    <w:p w:rsidR="00DE3000" w:rsidRPr="004028F7" w:rsidRDefault="00DE3000" w:rsidP="00B81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F7">
        <w:rPr>
          <w:rFonts w:ascii="Times New Roman" w:hAnsi="Times New Roman" w:cs="Times New Roman"/>
          <w:sz w:val="28"/>
          <w:szCs w:val="28"/>
        </w:rPr>
        <w:t xml:space="preserve">3) распоряжение Администрации </w:t>
      </w:r>
      <w:proofErr w:type="spellStart"/>
      <w:r w:rsidRPr="004028F7">
        <w:rPr>
          <w:rFonts w:ascii="Times New Roman" w:hAnsi="Times New Roman" w:cs="Times New Roman"/>
          <w:sz w:val="28"/>
          <w:szCs w:val="28"/>
        </w:rPr>
        <w:t>Колпашевского</w:t>
      </w:r>
      <w:proofErr w:type="spellEnd"/>
      <w:r w:rsidRPr="004028F7">
        <w:rPr>
          <w:rFonts w:ascii="Times New Roman" w:hAnsi="Times New Roman" w:cs="Times New Roman"/>
          <w:sz w:val="28"/>
          <w:szCs w:val="28"/>
        </w:rPr>
        <w:t xml:space="preserve"> района от 07.09.2020 № 349 «Об организации в Администрации </w:t>
      </w:r>
      <w:proofErr w:type="spellStart"/>
      <w:r w:rsidRPr="004028F7">
        <w:rPr>
          <w:rFonts w:ascii="Times New Roman" w:hAnsi="Times New Roman" w:cs="Times New Roman"/>
          <w:sz w:val="28"/>
          <w:szCs w:val="28"/>
        </w:rPr>
        <w:t>Колпашевского</w:t>
      </w:r>
      <w:proofErr w:type="spellEnd"/>
      <w:r w:rsidRPr="004028F7">
        <w:rPr>
          <w:rFonts w:ascii="Times New Roman" w:hAnsi="Times New Roman" w:cs="Times New Roman"/>
          <w:sz w:val="28"/>
          <w:szCs w:val="28"/>
        </w:rPr>
        <w:t xml:space="preserve"> района системы внутреннего обеспечения соответствия требованиям антимонопольного законодательства».</w:t>
      </w:r>
    </w:p>
    <w:p w:rsidR="00DE3000" w:rsidRPr="004028F7" w:rsidRDefault="00DE3000" w:rsidP="00B81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F7">
        <w:rPr>
          <w:rFonts w:ascii="Times New Roman" w:hAnsi="Times New Roman" w:cs="Times New Roman"/>
          <w:sz w:val="28"/>
          <w:szCs w:val="28"/>
        </w:rPr>
        <w:t xml:space="preserve">Уполномоченным структурным подразделением, ответственным за функционирование антимонопольного </w:t>
      </w:r>
      <w:proofErr w:type="spellStart"/>
      <w:r w:rsidRPr="004028F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4028F7">
        <w:rPr>
          <w:rFonts w:ascii="Times New Roman" w:hAnsi="Times New Roman" w:cs="Times New Roman"/>
          <w:sz w:val="28"/>
          <w:szCs w:val="28"/>
        </w:rPr>
        <w:t xml:space="preserve">, определен правовой отдел Администрации </w:t>
      </w:r>
      <w:proofErr w:type="spellStart"/>
      <w:r w:rsidRPr="004028F7">
        <w:rPr>
          <w:rFonts w:ascii="Times New Roman" w:hAnsi="Times New Roman" w:cs="Times New Roman"/>
          <w:sz w:val="28"/>
          <w:szCs w:val="28"/>
        </w:rPr>
        <w:t>Колпашевского</w:t>
      </w:r>
      <w:proofErr w:type="spellEnd"/>
      <w:r w:rsidRPr="004028F7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E3000" w:rsidRPr="004028F7" w:rsidRDefault="00DE3000" w:rsidP="00B81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F7">
        <w:rPr>
          <w:rFonts w:ascii="Times New Roman" w:hAnsi="Times New Roman" w:cs="Times New Roman"/>
          <w:sz w:val="28"/>
          <w:szCs w:val="28"/>
        </w:rPr>
        <w:t>В рамках организации системы внутреннего обеспечения соответствия требованиям антимонопольного законодательства деятельности Администрации реализованы следующие мероприятия:</w:t>
      </w:r>
    </w:p>
    <w:p w:rsidR="00DE3000" w:rsidRPr="004028F7" w:rsidRDefault="00DE3000" w:rsidP="00B81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F7">
        <w:rPr>
          <w:rFonts w:ascii="Times New Roman" w:hAnsi="Times New Roman" w:cs="Times New Roman"/>
          <w:sz w:val="28"/>
          <w:szCs w:val="28"/>
        </w:rPr>
        <w:t xml:space="preserve">1. </w:t>
      </w:r>
      <w:r w:rsidR="00F07543" w:rsidRPr="004028F7">
        <w:rPr>
          <w:rFonts w:ascii="Times New Roman" w:hAnsi="Times New Roman" w:cs="Times New Roman"/>
          <w:sz w:val="28"/>
          <w:szCs w:val="28"/>
        </w:rPr>
        <w:t>П</w:t>
      </w:r>
      <w:r w:rsidRPr="004028F7">
        <w:rPr>
          <w:rFonts w:ascii="Times New Roman" w:hAnsi="Times New Roman" w:cs="Times New Roman"/>
          <w:sz w:val="28"/>
          <w:szCs w:val="28"/>
        </w:rPr>
        <w:t>роведен анализ выявленных нарушений антимонопольного законода</w:t>
      </w:r>
      <w:r w:rsidR="00C414B8">
        <w:rPr>
          <w:rFonts w:ascii="Times New Roman" w:hAnsi="Times New Roman" w:cs="Times New Roman"/>
          <w:sz w:val="28"/>
          <w:szCs w:val="28"/>
        </w:rPr>
        <w:t>тельства в Администрации за 2020-2022</w:t>
      </w:r>
      <w:r w:rsidRPr="004028F7">
        <w:rPr>
          <w:rFonts w:ascii="Times New Roman" w:hAnsi="Times New Roman" w:cs="Times New Roman"/>
          <w:sz w:val="28"/>
          <w:szCs w:val="28"/>
        </w:rPr>
        <w:t xml:space="preserve"> годы (наличие предостережений, предупреждений, штрафов, жалоб, возбужденных дел)</w:t>
      </w:r>
      <w:r w:rsidR="00924D7F" w:rsidRPr="004028F7">
        <w:rPr>
          <w:rFonts w:ascii="Times New Roman" w:hAnsi="Times New Roman" w:cs="Times New Roman"/>
          <w:sz w:val="28"/>
          <w:szCs w:val="28"/>
        </w:rPr>
        <w:t>, в рамках которого составлен следующий перечень нарушений антимонопольного законодательств</w:t>
      </w:r>
      <w:r w:rsidR="00963E9F">
        <w:rPr>
          <w:rFonts w:ascii="Times New Roman" w:hAnsi="Times New Roman" w:cs="Times New Roman"/>
          <w:sz w:val="28"/>
          <w:szCs w:val="28"/>
        </w:rPr>
        <w:t>а</w:t>
      </w:r>
      <w:r w:rsidR="00924D7F" w:rsidRPr="004028F7">
        <w:rPr>
          <w:rFonts w:ascii="Times New Roman" w:hAnsi="Times New Roman" w:cs="Times New Roman"/>
          <w:sz w:val="28"/>
          <w:szCs w:val="28"/>
        </w:rPr>
        <w:t>:</w:t>
      </w:r>
    </w:p>
    <w:p w:rsidR="00B81DDF" w:rsidRPr="004028F7" w:rsidRDefault="00B81DDF" w:rsidP="00B81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DDF" w:rsidRPr="004028F7" w:rsidRDefault="00B81DDF" w:rsidP="00B81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2856" w:rsidRPr="004028F7" w:rsidRDefault="00482856" w:rsidP="00B81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DDF" w:rsidRPr="004028F7" w:rsidRDefault="00B81DDF" w:rsidP="00B81DDF">
      <w:pPr>
        <w:jc w:val="center"/>
        <w:rPr>
          <w:rFonts w:ascii="Times New Roman" w:hAnsi="Times New Roman" w:cs="Times New Roman"/>
          <w:b/>
        </w:rPr>
        <w:sectPr w:rsidR="00B81DDF" w:rsidRPr="004028F7" w:rsidSect="004028F7">
          <w:headerReference w:type="default" r:id="rId9"/>
          <w:pgSz w:w="11906" w:h="16838" w:code="9"/>
          <w:pgMar w:top="1134" w:right="850" w:bottom="1134" w:left="1701" w:header="567" w:footer="0" w:gutter="0"/>
          <w:cols w:space="708"/>
          <w:titlePg/>
          <w:docGrid w:linePitch="360"/>
        </w:sectPr>
      </w:pPr>
    </w:p>
    <w:tbl>
      <w:tblPr>
        <w:tblStyle w:val="a5"/>
        <w:tblW w:w="15134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709"/>
        <w:gridCol w:w="850"/>
        <w:gridCol w:w="1701"/>
        <w:gridCol w:w="3119"/>
        <w:gridCol w:w="1701"/>
        <w:gridCol w:w="1559"/>
        <w:gridCol w:w="1843"/>
        <w:gridCol w:w="1701"/>
      </w:tblGrid>
      <w:tr w:rsidR="00580B3B" w:rsidRPr="004028F7" w:rsidTr="00ED61BC">
        <w:trPr>
          <w:trHeight w:val="600"/>
        </w:trPr>
        <w:tc>
          <w:tcPr>
            <w:tcW w:w="3510" w:type="dxa"/>
            <w:gridSpan w:val="4"/>
          </w:tcPr>
          <w:p w:rsidR="00580B3B" w:rsidRPr="004028F7" w:rsidRDefault="00580B3B" w:rsidP="00B81DDF">
            <w:pPr>
              <w:jc w:val="center"/>
              <w:rPr>
                <w:b/>
                <w:sz w:val="22"/>
                <w:szCs w:val="22"/>
              </w:rPr>
            </w:pPr>
            <w:r w:rsidRPr="004028F7">
              <w:rPr>
                <w:b/>
                <w:sz w:val="22"/>
                <w:szCs w:val="22"/>
              </w:rPr>
              <w:lastRenderedPageBreak/>
              <w:t>Сведения о выявленных нарушениях</w:t>
            </w:r>
          </w:p>
        </w:tc>
        <w:tc>
          <w:tcPr>
            <w:tcW w:w="8080" w:type="dxa"/>
            <w:gridSpan w:val="4"/>
          </w:tcPr>
          <w:p w:rsidR="00580B3B" w:rsidRPr="004028F7" w:rsidRDefault="00580B3B" w:rsidP="00B81DDF">
            <w:pPr>
              <w:jc w:val="center"/>
              <w:rPr>
                <w:b/>
                <w:sz w:val="22"/>
                <w:szCs w:val="22"/>
              </w:rPr>
            </w:pPr>
            <w:r w:rsidRPr="004028F7">
              <w:rPr>
                <w:b/>
                <w:sz w:val="22"/>
                <w:szCs w:val="22"/>
              </w:rPr>
              <w:t>Информация о нарушении</w:t>
            </w:r>
          </w:p>
        </w:tc>
        <w:tc>
          <w:tcPr>
            <w:tcW w:w="1843" w:type="dxa"/>
            <w:vMerge w:val="restart"/>
          </w:tcPr>
          <w:p w:rsidR="00580B3B" w:rsidRPr="004028F7" w:rsidRDefault="00580B3B" w:rsidP="00B81DDF">
            <w:pPr>
              <w:jc w:val="center"/>
              <w:rPr>
                <w:b/>
                <w:sz w:val="22"/>
                <w:szCs w:val="22"/>
              </w:rPr>
            </w:pPr>
            <w:r w:rsidRPr="004028F7">
              <w:rPr>
                <w:b/>
                <w:sz w:val="22"/>
                <w:szCs w:val="22"/>
              </w:rPr>
              <w:t>Позиция антимонопольного органа</w:t>
            </w:r>
          </w:p>
        </w:tc>
        <w:tc>
          <w:tcPr>
            <w:tcW w:w="1701" w:type="dxa"/>
            <w:vMerge w:val="restart"/>
          </w:tcPr>
          <w:p w:rsidR="00580B3B" w:rsidRPr="004028F7" w:rsidRDefault="00580B3B" w:rsidP="00B81DDF">
            <w:pPr>
              <w:jc w:val="center"/>
              <w:rPr>
                <w:b/>
                <w:sz w:val="22"/>
                <w:szCs w:val="22"/>
              </w:rPr>
            </w:pPr>
            <w:r w:rsidRPr="004028F7">
              <w:rPr>
                <w:b/>
                <w:sz w:val="22"/>
                <w:szCs w:val="22"/>
              </w:rPr>
              <w:t>Сведения о мерах по устранению нарушения и мерах, направленных на недопущение повторения нарушения</w:t>
            </w:r>
          </w:p>
        </w:tc>
      </w:tr>
      <w:tr w:rsidR="00ED61BC" w:rsidRPr="004028F7" w:rsidTr="00ED61BC">
        <w:trPr>
          <w:trHeight w:val="360"/>
        </w:trPr>
        <w:tc>
          <w:tcPr>
            <w:tcW w:w="1242" w:type="dxa"/>
          </w:tcPr>
          <w:p w:rsidR="00580B3B" w:rsidRPr="004028F7" w:rsidRDefault="00605DFE" w:rsidP="00B81DDF">
            <w:pPr>
              <w:jc w:val="center"/>
            </w:pPr>
            <w:r w:rsidRPr="004028F7">
              <w:t>год</w:t>
            </w:r>
          </w:p>
        </w:tc>
        <w:tc>
          <w:tcPr>
            <w:tcW w:w="709" w:type="dxa"/>
          </w:tcPr>
          <w:p w:rsidR="00580B3B" w:rsidRPr="004028F7" w:rsidRDefault="00C414B8" w:rsidP="00B81DDF">
            <w:pPr>
              <w:jc w:val="center"/>
            </w:pPr>
            <w:r>
              <w:t>2020</w:t>
            </w:r>
          </w:p>
        </w:tc>
        <w:tc>
          <w:tcPr>
            <w:tcW w:w="709" w:type="dxa"/>
          </w:tcPr>
          <w:p w:rsidR="00580B3B" w:rsidRPr="004028F7" w:rsidRDefault="00C414B8" w:rsidP="00B81DDF">
            <w:pPr>
              <w:jc w:val="center"/>
            </w:pPr>
            <w:r>
              <w:t>2021</w:t>
            </w:r>
          </w:p>
        </w:tc>
        <w:tc>
          <w:tcPr>
            <w:tcW w:w="850" w:type="dxa"/>
          </w:tcPr>
          <w:p w:rsidR="00580B3B" w:rsidRPr="004028F7" w:rsidRDefault="00C414B8" w:rsidP="00B81DDF">
            <w:pPr>
              <w:jc w:val="center"/>
            </w:pPr>
            <w:r>
              <w:t>2022</w:t>
            </w:r>
          </w:p>
        </w:tc>
        <w:tc>
          <w:tcPr>
            <w:tcW w:w="1701" w:type="dxa"/>
          </w:tcPr>
          <w:p w:rsidR="00580B3B" w:rsidRPr="004028F7" w:rsidRDefault="00580B3B" w:rsidP="00B81DDF">
            <w:pPr>
              <w:jc w:val="center"/>
            </w:pPr>
            <w:r w:rsidRPr="004028F7">
              <w:t>Нарушенная норма антимонопольного законодательства</w:t>
            </w:r>
          </w:p>
        </w:tc>
        <w:tc>
          <w:tcPr>
            <w:tcW w:w="3119" w:type="dxa"/>
          </w:tcPr>
          <w:p w:rsidR="00580B3B" w:rsidRPr="004028F7" w:rsidRDefault="00580B3B" w:rsidP="00B81DDF">
            <w:pPr>
              <w:jc w:val="center"/>
            </w:pPr>
            <w:r w:rsidRPr="004028F7">
              <w:t>Краткое изложение сути нарушения</w:t>
            </w:r>
          </w:p>
        </w:tc>
        <w:tc>
          <w:tcPr>
            <w:tcW w:w="1701" w:type="dxa"/>
          </w:tcPr>
          <w:p w:rsidR="00580B3B" w:rsidRPr="004028F7" w:rsidRDefault="00580B3B" w:rsidP="00B81DDF">
            <w:pPr>
              <w:jc w:val="center"/>
            </w:pPr>
            <w:r w:rsidRPr="004028F7">
              <w:t>Последствия нарушения антимонопольного законодательства</w:t>
            </w:r>
          </w:p>
        </w:tc>
        <w:tc>
          <w:tcPr>
            <w:tcW w:w="1559" w:type="dxa"/>
          </w:tcPr>
          <w:p w:rsidR="00580B3B" w:rsidRPr="004028F7" w:rsidRDefault="00580B3B" w:rsidP="00B81DDF">
            <w:pPr>
              <w:jc w:val="center"/>
            </w:pPr>
            <w:r w:rsidRPr="004028F7">
              <w:t>Результат рассмотрения нарушения антимонопольным органом</w:t>
            </w:r>
          </w:p>
        </w:tc>
        <w:tc>
          <w:tcPr>
            <w:tcW w:w="1843" w:type="dxa"/>
            <w:vMerge/>
          </w:tcPr>
          <w:p w:rsidR="00580B3B" w:rsidRPr="004028F7" w:rsidRDefault="00580B3B" w:rsidP="00B81D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80B3B" w:rsidRPr="004028F7" w:rsidRDefault="00580B3B" w:rsidP="00B81DD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374A7" w:rsidRPr="004028F7" w:rsidTr="00B81DDF">
        <w:tc>
          <w:tcPr>
            <w:tcW w:w="15134" w:type="dxa"/>
            <w:gridSpan w:val="10"/>
          </w:tcPr>
          <w:p w:rsidR="001374A7" w:rsidRPr="004028F7" w:rsidRDefault="001374A7" w:rsidP="00B81DDF">
            <w:pPr>
              <w:jc w:val="center"/>
              <w:rPr>
                <w:sz w:val="24"/>
                <w:szCs w:val="24"/>
              </w:rPr>
            </w:pPr>
            <w:r w:rsidRPr="004028F7">
              <w:rPr>
                <w:i/>
                <w:sz w:val="24"/>
                <w:szCs w:val="24"/>
              </w:rPr>
              <w:t>Нарушения в сфере закупок товаров, работ, услуг для обеспечения муниципальных нужд</w:t>
            </w:r>
          </w:p>
        </w:tc>
      </w:tr>
      <w:tr w:rsidR="00ED61BC" w:rsidRPr="004028F7" w:rsidTr="00ED61BC">
        <w:tc>
          <w:tcPr>
            <w:tcW w:w="1242" w:type="dxa"/>
          </w:tcPr>
          <w:p w:rsidR="00580B3B" w:rsidRPr="004028F7" w:rsidRDefault="00580B3B" w:rsidP="00B81DDF">
            <w:pPr>
              <w:jc w:val="center"/>
            </w:pPr>
            <w:r w:rsidRPr="004028F7">
              <w:t>Постановление о возбуждении дела об административном правонарушении</w:t>
            </w:r>
          </w:p>
        </w:tc>
        <w:tc>
          <w:tcPr>
            <w:tcW w:w="709" w:type="dxa"/>
          </w:tcPr>
          <w:p w:rsidR="00580B3B" w:rsidRPr="004028F7" w:rsidRDefault="00C414B8" w:rsidP="00B81DDF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580B3B" w:rsidRPr="004028F7" w:rsidRDefault="00C414B8" w:rsidP="00B81DDF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80B3B" w:rsidRPr="004028F7" w:rsidRDefault="00C414B8" w:rsidP="00B81DDF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580B3B" w:rsidRPr="004028F7" w:rsidRDefault="002E03F3" w:rsidP="00B81DDF">
            <w:pPr>
              <w:jc w:val="center"/>
            </w:pPr>
            <w:r>
              <w:t>7</w:t>
            </w:r>
            <w:r w:rsidR="00B81DDF" w:rsidRPr="004028F7">
              <w:t>:</w:t>
            </w:r>
            <w:r w:rsidR="00482856" w:rsidRPr="004028F7">
              <w:t>ч. 4.2 ст. 7.30 ФЗ № 44</w:t>
            </w:r>
          </w:p>
        </w:tc>
        <w:tc>
          <w:tcPr>
            <w:tcW w:w="3119" w:type="dxa"/>
          </w:tcPr>
          <w:p w:rsidR="00580B3B" w:rsidRDefault="00B81DDF" w:rsidP="00B81DDF">
            <w:pPr>
              <w:jc w:val="center"/>
            </w:pPr>
            <w:r w:rsidRPr="004028F7">
              <w:t>6:</w:t>
            </w:r>
            <w:r w:rsidR="00482856" w:rsidRPr="004028F7">
              <w:t>Утверждение документации об электронном аукционе без требования о наличии свидетельства о регистрации СМИ</w:t>
            </w:r>
          </w:p>
          <w:p w:rsidR="002E03F3" w:rsidRPr="004028F7" w:rsidRDefault="002E03F3" w:rsidP="00B81DDF">
            <w:pPr>
              <w:jc w:val="center"/>
            </w:pPr>
            <w:r>
              <w:t>1: Несоответствие некоторых условий заключенного контра</w:t>
            </w:r>
            <w:r w:rsidR="00C414B8">
              <w:t>кта условиям типового контракта</w:t>
            </w:r>
          </w:p>
        </w:tc>
        <w:tc>
          <w:tcPr>
            <w:tcW w:w="1701" w:type="dxa"/>
          </w:tcPr>
          <w:p w:rsidR="00580B3B" w:rsidRPr="004028F7" w:rsidRDefault="00482856" w:rsidP="00B81DDF">
            <w:pPr>
              <w:jc w:val="center"/>
            </w:pPr>
            <w:r w:rsidRPr="004028F7">
              <w:t>Привлечение к административной ответственности должностного лица</w:t>
            </w:r>
          </w:p>
        </w:tc>
        <w:tc>
          <w:tcPr>
            <w:tcW w:w="1559" w:type="dxa"/>
          </w:tcPr>
          <w:p w:rsidR="00580B3B" w:rsidRPr="004028F7" w:rsidRDefault="00482856" w:rsidP="00B81DDF">
            <w:pPr>
              <w:jc w:val="center"/>
            </w:pPr>
            <w:r w:rsidRPr="004028F7">
              <w:t>Вынесено постановление о наложении штрафа</w:t>
            </w:r>
          </w:p>
        </w:tc>
        <w:tc>
          <w:tcPr>
            <w:tcW w:w="1843" w:type="dxa"/>
          </w:tcPr>
          <w:p w:rsidR="00580B3B" w:rsidRDefault="00B81DDF" w:rsidP="00B81DDF">
            <w:pPr>
              <w:jc w:val="center"/>
            </w:pPr>
            <w:r w:rsidRPr="004028F7">
              <w:t>6:</w:t>
            </w:r>
            <w:r w:rsidR="00605DFE" w:rsidRPr="004028F7">
              <w:t>При проведении закупок о размещении информации в СМИ необходимо устанавливать требование о наличии регистрации СМИ</w:t>
            </w:r>
          </w:p>
          <w:p w:rsidR="002E03F3" w:rsidRPr="004028F7" w:rsidRDefault="002E03F3" w:rsidP="00B81DDF">
            <w:pPr>
              <w:jc w:val="center"/>
            </w:pPr>
            <w:r>
              <w:t xml:space="preserve">1: В случае наличия обязательного к применению типового контракта, заказчик обязан заключать контракт согласно типовой форме. </w:t>
            </w:r>
          </w:p>
        </w:tc>
        <w:tc>
          <w:tcPr>
            <w:tcW w:w="1701" w:type="dxa"/>
          </w:tcPr>
          <w:p w:rsidR="00580B3B" w:rsidRDefault="00B81DDF" w:rsidP="00B81DDF">
            <w:pPr>
              <w:jc w:val="center"/>
            </w:pPr>
            <w:r w:rsidRPr="004028F7">
              <w:t>6:</w:t>
            </w:r>
            <w:r w:rsidR="00605DFE" w:rsidRPr="004028F7">
              <w:t>Включение в дальнейшем в документацию об электронном аукционе соответствующих требований</w:t>
            </w:r>
          </w:p>
          <w:p w:rsidR="002E03F3" w:rsidRDefault="002E03F3" w:rsidP="002E03F3">
            <w:pPr>
              <w:jc w:val="center"/>
            </w:pPr>
            <w:r>
              <w:t xml:space="preserve">1: </w:t>
            </w:r>
            <w:r w:rsidRPr="002E03F3">
              <w:t>В случае наличия обязательного к</w:t>
            </w:r>
            <w:r>
              <w:t xml:space="preserve"> применению типового контракта,</w:t>
            </w:r>
          </w:p>
          <w:p w:rsidR="002E03F3" w:rsidRPr="004028F7" w:rsidRDefault="002E03F3" w:rsidP="002E03F3">
            <w:pPr>
              <w:jc w:val="center"/>
            </w:pPr>
            <w:r>
              <w:t xml:space="preserve">Проект контракта и заключаемый контракт </w:t>
            </w:r>
            <w:r w:rsidRPr="002E03F3">
              <w:t>заключать согласно типовой форме.</w:t>
            </w:r>
          </w:p>
        </w:tc>
      </w:tr>
    </w:tbl>
    <w:p w:rsidR="00B81DDF" w:rsidRPr="004028F7" w:rsidRDefault="00B81DDF" w:rsidP="00B81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B81DDF" w:rsidRPr="004028F7" w:rsidSect="004028F7">
          <w:headerReference w:type="default" r:id="rId10"/>
          <w:pgSz w:w="16838" w:h="11906" w:orient="landscape" w:code="9"/>
          <w:pgMar w:top="851" w:right="1134" w:bottom="1701" w:left="1134" w:header="426" w:footer="0" w:gutter="0"/>
          <w:cols w:space="708"/>
          <w:docGrid w:linePitch="360"/>
        </w:sectPr>
      </w:pPr>
    </w:p>
    <w:p w:rsidR="00F07543" w:rsidRPr="004028F7" w:rsidRDefault="00CC5060" w:rsidP="00770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28F7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End"/>
      <w:r w:rsidR="007708AF">
        <w:rPr>
          <w:rFonts w:ascii="Times New Roman" w:hAnsi="Times New Roman" w:cs="Times New Roman"/>
          <w:sz w:val="28"/>
          <w:szCs w:val="28"/>
        </w:rPr>
        <w:t>А</w:t>
      </w:r>
      <w:r w:rsidR="00C31ED1" w:rsidRPr="004028F7">
        <w:rPr>
          <w:rFonts w:ascii="Times New Roman" w:hAnsi="Times New Roman" w:cs="Times New Roman"/>
          <w:sz w:val="28"/>
          <w:szCs w:val="28"/>
        </w:rPr>
        <w:t xml:space="preserve">нализ нормативных правовых актов Администрации, которые могут иметь признаки нарушения антимонопольного законодательства, </w:t>
      </w:r>
      <w:r w:rsidR="007708AF">
        <w:rPr>
          <w:rFonts w:ascii="Times New Roman" w:hAnsi="Times New Roman" w:cs="Times New Roman"/>
          <w:sz w:val="28"/>
          <w:szCs w:val="28"/>
        </w:rPr>
        <w:t xml:space="preserve">не проводился, ввиду отсутствия предложений по формированию перечня </w:t>
      </w:r>
      <w:r w:rsidR="00C31ED1" w:rsidRPr="004028F7">
        <w:rPr>
          <w:rFonts w:ascii="Times New Roman" w:hAnsi="Times New Roman" w:cs="Times New Roman"/>
          <w:sz w:val="28"/>
          <w:szCs w:val="28"/>
        </w:rPr>
        <w:t xml:space="preserve">нормативных правовых актов Администрации </w:t>
      </w:r>
      <w:proofErr w:type="spellStart"/>
      <w:r w:rsidR="00C31ED1" w:rsidRPr="004028F7">
        <w:rPr>
          <w:rFonts w:ascii="Times New Roman" w:hAnsi="Times New Roman" w:cs="Times New Roman"/>
          <w:sz w:val="28"/>
          <w:szCs w:val="28"/>
        </w:rPr>
        <w:t>Колпашевского</w:t>
      </w:r>
      <w:proofErr w:type="spellEnd"/>
      <w:r w:rsidR="00C31ED1" w:rsidRPr="004028F7">
        <w:rPr>
          <w:rFonts w:ascii="Times New Roman" w:hAnsi="Times New Roman" w:cs="Times New Roman"/>
          <w:sz w:val="28"/>
          <w:szCs w:val="28"/>
        </w:rPr>
        <w:t xml:space="preserve"> района, которые могут иметь признаки нарушения антимонопольного законодательства.</w:t>
      </w:r>
      <w:r w:rsidR="007708AF">
        <w:rPr>
          <w:rFonts w:ascii="Times New Roman" w:hAnsi="Times New Roman" w:cs="Times New Roman"/>
          <w:sz w:val="28"/>
          <w:szCs w:val="28"/>
        </w:rPr>
        <w:t xml:space="preserve"> Правовые акты, содержащие</w:t>
      </w:r>
      <w:r w:rsidR="00C31ED1" w:rsidRPr="004028F7">
        <w:rPr>
          <w:rFonts w:ascii="Times New Roman" w:hAnsi="Times New Roman" w:cs="Times New Roman"/>
          <w:sz w:val="28"/>
          <w:szCs w:val="28"/>
        </w:rPr>
        <w:t xml:space="preserve"> </w:t>
      </w:r>
      <w:r w:rsidR="00F07543" w:rsidRPr="004028F7">
        <w:rPr>
          <w:rFonts w:ascii="Times New Roman" w:hAnsi="Times New Roman" w:cs="Times New Roman"/>
          <w:sz w:val="28"/>
          <w:szCs w:val="28"/>
        </w:rPr>
        <w:t>положения, имеющие признаки нарушения антимонопольного законодательства, не выявлены.</w:t>
      </w:r>
    </w:p>
    <w:p w:rsidR="00C31ED1" w:rsidRPr="004028F7" w:rsidRDefault="00F07543" w:rsidP="00C31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F7">
        <w:rPr>
          <w:rFonts w:ascii="Times New Roman" w:hAnsi="Times New Roman" w:cs="Times New Roman"/>
          <w:sz w:val="28"/>
          <w:szCs w:val="28"/>
        </w:rPr>
        <w:t xml:space="preserve"> 3. Проведен мониторинг и анализ практики применения Администрацией антимонопольного законодательства, по результатам которого подготовлена следующая аналитическая справка:</w:t>
      </w:r>
    </w:p>
    <w:p w:rsidR="00493C63" w:rsidRPr="004028F7" w:rsidRDefault="00316163" w:rsidP="00C31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F7">
        <w:rPr>
          <w:rFonts w:ascii="Times New Roman" w:hAnsi="Times New Roman" w:cs="Times New Roman"/>
          <w:sz w:val="28"/>
          <w:szCs w:val="28"/>
        </w:rPr>
        <w:t xml:space="preserve">Практика применения Администрацией </w:t>
      </w:r>
      <w:proofErr w:type="spellStart"/>
      <w:r w:rsidRPr="004028F7">
        <w:rPr>
          <w:rFonts w:ascii="Times New Roman" w:hAnsi="Times New Roman" w:cs="Times New Roman"/>
          <w:sz w:val="28"/>
          <w:szCs w:val="28"/>
        </w:rPr>
        <w:t>Колпашевского</w:t>
      </w:r>
      <w:proofErr w:type="spellEnd"/>
      <w:r w:rsidRPr="004028F7">
        <w:rPr>
          <w:rFonts w:ascii="Times New Roman" w:hAnsi="Times New Roman" w:cs="Times New Roman"/>
          <w:sz w:val="28"/>
          <w:szCs w:val="28"/>
        </w:rPr>
        <w:t xml:space="preserve"> района антимонопольного законодательства складывается преимущественно в рамках исполнения Федерального закона от 05.04.2013 № 44-ФЗ «</w:t>
      </w:r>
      <w:r w:rsidR="00AC4F0D" w:rsidRPr="004028F7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8F513F" w:rsidRPr="004028F7">
        <w:rPr>
          <w:rFonts w:ascii="Times New Roman" w:hAnsi="Times New Roman" w:cs="Times New Roman"/>
          <w:sz w:val="28"/>
          <w:szCs w:val="28"/>
        </w:rPr>
        <w:t xml:space="preserve">», в </w:t>
      </w:r>
      <w:proofErr w:type="gramStart"/>
      <w:r w:rsidR="008F513F" w:rsidRPr="004028F7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8F513F" w:rsidRPr="004028F7">
        <w:rPr>
          <w:rFonts w:ascii="Times New Roman" w:hAnsi="Times New Roman" w:cs="Times New Roman"/>
          <w:sz w:val="28"/>
          <w:szCs w:val="28"/>
        </w:rPr>
        <w:t xml:space="preserve"> с чем нарушения, совершаемые Администрацией </w:t>
      </w:r>
      <w:proofErr w:type="spellStart"/>
      <w:r w:rsidR="008F513F" w:rsidRPr="004028F7">
        <w:rPr>
          <w:rFonts w:ascii="Times New Roman" w:hAnsi="Times New Roman" w:cs="Times New Roman"/>
          <w:sz w:val="28"/>
          <w:szCs w:val="28"/>
        </w:rPr>
        <w:t>Колпашевского</w:t>
      </w:r>
      <w:proofErr w:type="spellEnd"/>
      <w:r w:rsidR="008F513F" w:rsidRPr="004028F7">
        <w:rPr>
          <w:rFonts w:ascii="Times New Roman" w:hAnsi="Times New Roman" w:cs="Times New Roman"/>
          <w:sz w:val="28"/>
          <w:szCs w:val="28"/>
        </w:rPr>
        <w:t xml:space="preserve"> района, влекущие возможное ограничение конкуренции, производятся в отношении положений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По итогам анализа выявленных нарушений антимонопольного законода</w:t>
      </w:r>
      <w:r w:rsidR="00482101">
        <w:rPr>
          <w:rFonts w:ascii="Times New Roman" w:hAnsi="Times New Roman" w:cs="Times New Roman"/>
          <w:sz w:val="28"/>
          <w:szCs w:val="28"/>
        </w:rPr>
        <w:t xml:space="preserve">тельства в Администрации </w:t>
      </w:r>
      <w:r w:rsidR="007708AF">
        <w:rPr>
          <w:rFonts w:ascii="Times New Roman" w:hAnsi="Times New Roman" w:cs="Times New Roman"/>
          <w:sz w:val="28"/>
          <w:szCs w:val="28"/>
        </w:rPr>
        <w:t>за 2020-2022</w:t>
      </w:r>
      <w:r w:rsidR="00AC3673">
        <w:rPr>
          <w:rFonts w:ascii="Times New Roman" w:hAnsi="Times New Roman" w:cs="Times New Roman"/>
          <w:sz w:val="28"/>
          <w:szCs w:val="28"/>
        </w:rPr>
        <w:t xml:space="preserve"> годы установлено, что нарушения</w:t>
      </w:r>
      <w:r w:rsidR="008F513F" w:rsidRPr="004028F7">
        <w:rPr>
          <w:rFonts w:ascii="Times New Roman" w:hAnsi="Times New Roman" w:cs="Times New Roman"/>
          <w:sz w:val="28"/>
          <w:szCs w:val="28"/>
        </w:rPr>
        <w:t xml:space="preserve"> положений Федерального закона от 05.04.2013 № 44-ФЗ «О контрактной системе в сфере закупок товаров, работ, услуг для обеспечения государствен</w:t>
      </w:r>
      <w:r w:rsidR="00AC3673">
        <w:rPr>
          <w:rFonts w:ascii="Times New Roman" w:hAnsi="Times New Roman" w:cs="Times New Roman"/>
          <w:sz w:val="28"/>
          <w:szCs w:val="28"/>
        </w:rPr>
        <w:t>ных и муниципальных нужд» в 2022</w:t>
      </w:r>
      <w:r w:rsidR="008F513F" w:rsidRPr="004028F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C3673">
        <w:rPr>
          <w:rFonts w:ascii="Times New Roman" w:hAnsi="Times New Roman" w:cs="Times New Roman"/>
          <w:sz w:val="28"/>
          <w:szCs w:val="28"/>
        </w:rPr>
        <w:t xml:space="preserve">отсутствуют </w:t>
      </w:r>
      <w:r w:rsidR="008F513F" w:rsidRPr="004028F7">
        <w:rPr>
          <w:rFonts w:ascii="Times New Roman" w:hAnsi="Times New Roman" w:cs="Times New Roman"/>
          <w:sz w:val="28"/>
          <w:szCs w:val="28"/>
        </w:rPr>
        <w:t xml:space="preserve">в сравнении с </w:t>
      </w:r>
      <w:r w:rsidR="00AC3673">
        <w:rPr>
          <w:rFonts w:ascii="Times New Roman" w:hAnsi="Times New Roman" w:cs="Times New Roman"/>
          <w:sz w:val="28"/>
          <w:szCs w:val="28"/>
        </w:rPr>
        <w:t>2020 и 2021</w:t>
      </w:r>
      <w:r w:rsidR="00482101">
        <w:rPr>
          <w:rFonts w:ascii="Times New Roman" w:hAnsi="Times New Roman" w:cs="Times New Roman"/>
          <w:sz w:val="28"/>
          <w:szCs w:val="28"/>
        </w:rPr>
        <w:t xml:space="preserve"> </w:t>
      </w:r>
      <w:r w:rsidR="00AC3673">
        <w:rPr>
          <w:rFonts w:ascii="Times New Roman" w:hAnsi="Times New Roman" w:cs="Times New Roman"/>
          <w:sz w:val="28"/>
          <w:szCs w:val="28"/>
        </w:rPr>
        <w:t>годом</w:t>
      </w:r>
      <w:r w:rsidR="00493C63" w:rsidRPr="004028F7">
        <w:rPr>
          <w:rFonts w:ascii="Times New Roman" w:hAnsi="Times New Roman" w:cs="Times New Roman"/>
          <w:sz w:val="28"/>
          <w:szCs w:val="28"/>
        </w:rPr>
        <w:t>.</w:t>
      </w:r>
    </w:p>
    <w:p w:rsidR="00493C63" w:rsidRPr="004028F7" w:rsidRDefault="00AC3673" w:rsidP="00C31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сохраняется</w:t>
      </w:r>
      <w:r w:rsidR="00493C63" w:rsidRPr="004028F7">
        <w:rPr>
          <w:rFonts w:ascii="Times New Roman" w:hAnsi="Times New Roman" w:cs="Times New Roman"/>
          <w:sz w:val="28"/>
          <w:szCs w:val="28"/>
        </w:rPr>
        <w:t xml:space="preserve"> </w:t>
      </w:r>
      <w:r w:rsidR="00021969" w:rsidRPr="004028F7">
        <w:rPr>
          <w:rFonts w:ascii="Times New Roman" w:hAnsi="Times New Roman" w:cs="Times New Roman"/>
          <w:sz w:val="28"/>
          <w:szCs w:val="28"/>
        </w:rPr>
        <w:t>риск</w:t>
      </w:r>
      <w:r w:rsidR="00493C63" w:rsidRPr="004028F7">
        <w:rPr>
          <w:rFonts w:ascii="Times New Roman" w:hAnsi="Times New Roman" w:cs="Times New Roman"/>
          <w:sz w:val="28"/>
          <w:szCs w:val="28"/>
        </w:rPr>
        <w:t xml:space="preserve"> нарушения ан</w:t>
      </w:r>
      <w:r w:rsidR="00021969" w:rsidRPr="004028F7">
        <w:rPr>
          <w:rFonts w:ascii="Times New Roman" w:hAnsi="Times New Roman" w:cs="Times New Roman"/>
          <w:sz w:val="28"/>
          <w:szCs w:val="28"/>
        </w:rPr>
        <w:t>тимонопольного законодательства - нарушения при осуществлении закупок товаров, работ, услуг для обеспечения государственных нужд в соответствии с Федеральный закон от 05.04.2013 № 44-ФЗ, которые привели к ограничению конкуренции.</w:t>
      </w:r>
    </w:p>
    <w:p w:rsidR="00F07543" w:rsidRPr="004028F7" w:rsidRDefault="00021969" w:rsidP="002C5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28F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761584" w:rsidRPr="004028F7">
        <w:rPr>
          <w:rFonts w:ascii="Times New Roman" w:hAnsi="Times New Roman" w:cs="Times New Roman"/>
          <w:sz w:val="28"/>
          <w:szCs w:val="28"/>
        </w:rPr>
        <w:t xml:space="preserve">проведенной уполномоченным структурным подразделением оценки указанного риска </w:t>
      </w:r>
      <w:r w:rsidR="002C5F3B">
        <w:rPr>
          <w:rFonts w:ascii="Times New Roman" w:hAnsi="Times New Roman" w:cs="Times New Roman"/>
          <w:sz w:val="28"/>
          <w:szCs w:val="28"/>
        </w:rPr>
        <w:t>выявлено, что уровень риска – высокий, п</w:t>
      </w:r>
      <w:r w:rsidR="002C5F3B" w:rsidRPr="002C5F3B">
        <w:rPr>
          <w:rFonts w:ascii="Times New Roman" w:hAnsi="Times New Roman" w:cs="Times New Roman"/>
          <w:sz w:val="28"/>
          <w:szCs w:val="28"/>
        </w:rPr>
        <w:t>ричины и услов</w:t>
      </w:r>
      <w:r w:rsidR="002C5F3B">
        <w:rPr>
          <w:rFonts w:ascii="Times New Roman" w:hAnsi="Times New Roman" w:cs="Times New Roman"/>
          <w:sz w:val="28"/>
          <w:szCs w:val="28"/>
        </w:rPr>
        <w:t xml:space="preserve">ия возникновения риска состоят </w:t>
      </w:r>
      <w:r w:rsidR="002C5F3B" w:rsidRPr="002C5F3B">
        <w:rPr>
          <w:rFonts w:ascii="Times New Roman" w:hAnsi="Times New Roman" w:cs="Times New Roman"/>
          <w:sz w:val="28"/>
          <w:szCs w:val="28"/>
        </w:rPr>
        <w:t>и</w:t>
      </w:r>
      <w:r w:rsidR="002C5F3B">
        <w:rPr>
          <w:rFonts w:ascii="Times New Roman" w:hAnsi="Times New Roman" w:cs="Times New Roman"/>
          <w:sz w:val="28"/>
          <w:szCs w:val="28"/>
        </w:rPr>
        <w:t>гнорировании</w:t>
      </w:r>
      <w:r w:rsidR="002C5F3B" w:rsidRPr="002C5F3B">
        <w:rPr>
          <w:rFonts w:ascii="Times New Roman" w:hAnsi="Times New Roman" w:cs="Times New Roman"/>
          <w:sz w:val="28"/>
          <w:szCs w:val="28"/>
        </w:rPr>
        <w:t xml:space="preserve"> специальных норм законодательства, устанавливающих особенности регулирования о</w:t>
      </w:r>
      <w:r w:rsidR="002C5F3B">
        <w:rPr>
          <w:rFonts w:ascii="Times New Roman" w:hAnsi="Times New Roman" w:cs="Times New Roman"/>
          <w:sz w:val="28"/>
          <w:szCs w:val="28"/>
        </w:rPr>
        <w:t>пределенного вида деятельности и н</w:t>
      </w:r>
      <w:r w:rsidR="002C5F3B" w:rsidRPr="002C5F3B">
        <w:rPr>
          <w:rFonts w:ascii="Times New Roman" w:hAnsi="Times New Roman" w:cs="Times New Roman"/>
          <w:sz w:val="28"/>
          <w:szCs w:val="28"/>
        </w:rPr>
        <w:t>едостаток знаний в области вида деятельности, при осуществлении которого устанавливаются особые требования</w:t>
      </w:r>
      <w:r w:rsidR="002C5F3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D79F0" w:rsidRDefault="00C255C1" w:rsidP="005D79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F7">
        <w:rPr>
          <w:rFonts w:ascii="Times New Roman" w:hAnsi="Times New Roman" w:cs="Times New Roman"/>
          <w:sz w:val="28"/>
          <w:szCs w:val="28"/>
        </w:rPr>
        <w:t xml:space="preserve">Проведение оценки </w:t>
      </w:r>
      <w:r w:rsidR="00AD5BDC" w:rsidRPr="004028F7">
        <w:rPr>
          <w:rFonts w:ascii="Times New Roman" w:hAnsi="Times New Roman" w:cs="Times New Roman"/>
          <w:sz w:val="28"/>
          <w:szCs w:val="28"/>
        </w:rPr>
        <w:t>выполнения</w:t>
      </w:r>
      <w:r w:rsidRPr="004028F7">
        <w:rPr>
          <w:rFonts w:ascii="Times New Roman" w:hAnsi="Times New Roman" w:cs="Times New Roman"/>
          <w:sz w:val="28"/>
          <w:szCs w:val="28"/>
        </w:rPr>
        <w:t xml:space="preserve"> мероприятий по снижению рисков нарушения </w:t>
      </w:r>
      <w:r w:rsidR="00442B3E" w:rsidRPr="004028F7">
        <w:rPr>
          <w:rFonts w:ascii="Times New Roman" w:hAnsi="Times New Roman" w:cs="Times New Roman"/>
          <w:sz w:val="28"/>
          <w:szCs w:val="28"/>
        </w:rPr>
        <w:t xml:space="preserve">антимонопольного законодательства в соответствии с </w:t>
      </w:r>
      <w:r w:rsidR="004A24ED" w:rsidRPr="004028F7">
        <w:rPr>
          <w:rFonts w:ascii="Times New Roman" w:hAnsi="Times New Roman" w:cs="Times New Roman"/>
          <w:sz w:val="28"/>
          <w:szCs w:val="28"/>
        </w:rPr>
        <w:t xml:space="preserve"> </w:t>
      </w:r>
      <w:r w:rsidR="00442B3E" w:rsidRPr="004028F7">
        <w:rPr>
          <w:rFonts w:ascii="Times New Roman" w:hAnsi="Times New Roman" w:cs="Times New Roman"/>
          <w:sz w:val="28"/>
          <w:szCs w:val="28"/>
        </w:rPr>
        <w:t xml:space="preserve">Положением об организации системы внутреннего обеспечения соответствия требованиям антимонопольного законодательства деятельности Администрации </w:t>
      </w:r>
      <w:proofErr w:type="spellStart"/>
      <w:r w:rsidR="00442B3E" w:rsidRPr="004028F7">
        <w:rPr>
          <w:rFonts w:ascii="Times New Roman" w:hAnsi="Times New Roman" w:cs="Times New Roman"/>
          <w:sz w:val="28"/>
          <w:szCs w:val="28"/>
        </w:rPr>
        <w:t>Колпашевского</w:t>
      </w:r>
      <w:proofErr w:type="spellEnd"/>
      <w:r w:rsidR="00442B3E" w:rsidRPr="004028F7">
        <w:rPr>
          <w:rFonts w:ascii="Times New Roman" w:hAnsi="Times New Roman" w:cs="Times New Roman"/>
          <w:sz w:val="28"/>
          <w:szCs w:val="28"/>
        </w:rPr>
        <w:t xml:space="preserve"> района осуществляется по итогам реализации плана мероприятий по снижению рисков нарушения антимонопольного законодательства. </w:t>
      </w:r>
    </w:p>
    <w:p w:rsidR="005D79F0" w:rsidRDefault="005D79F0" w:rsidP="005D79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по снижению </w:t>
      </w:r>
      <w:r w:rsidRPr="005D79F0">
        <w:rPr>
          <w:rFonts w:ascii="Times New Roman" w:hAnsi="Times New Roman" w:cs="Times New Roman"/>
          <w:sz w:val="28"/>
          <w:szCs w:val="28"/>
        </w:rPr>
        <w:t>рисков нарушения антимоноп</w:t>
      </w:r>
      <w:r w:rsidR="00736715">
        <w:rPr>
          <w:rFonts w:ascii="Times New Roman" w:hAnsi="Times New Roman" w:cs="Times New Roman"/>
          <w:sz w:val="28"/>
          <w:szCs w:val="28"/>
        </w:rPr>
        <w:t>ольного законодательства на 2022</w:t>
      </w:r>
      <w:r w:rsidRPr="005D79F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утвержден распоряжением Администрации </w:t>
      </w:r>
      <w:proofErr w:type="spellStart"/>
      <w:r w:rsidR="00505A95">
        <w:rPr>
          <w:rFonts w:ascii="Times New Roman" w:hAnsi="Times New Roman" w:cs="Times New Roman"/>
          <w:sz w:val="28"/>
          <w:szCs w:val="28"/>
        </w:rPr>
        <w:lastRenderedPageBreak/>
        <w:t>Колпашевского</w:t>
      </w:r>
      <w:proofErr w:type="spellEnd"/>
      <w:r w:rsidR="00505A95">
        <w:rPr>
          <w:rFonts w:ascii="Times New Roman" w:hAnsi="Times New Roman" w:cs="Times New Roman"/>
          <w:sz w:val="28"/>
          <w:szCs w:val="28"/>
        </w:rPr>
        <w:t xml:space="preserve"> района от 16.08.2022 № 366</w:t>
      </w:r>
      <w:r>
        <w:rPr>
          <w:rFonts w:ascii="Times New Roman" w:hAnsi="Times New Roman" w:cs="Times New Roman"/>
          <w:sz w:val="28"/>
          <w:szCs w:val="28"/>
        </w:rPr>
        <w:t xml:space="preserve">. Мероприятия плана по снижению </w:t>
      </w:r>
      <w:r w:rsidRPr="005D79F0">
        <w:rPr>
          <w:rFonts w:ascii="Times New Roman" w:hAnsi="Times New Roman" w:cs="Times New Roman"/>
          <w:sz w:val="28"/>
          <w:szCs w:val="28"/>
        </w:rPr>
        <w:t>рисков нарушения антимонопольного законодательства</w:t>
      </w:r>
      <w:r w:rsidR="00505A95">
        <w:rPr>
          <w:rFonts w:ascii="Times New Roman" w:hAnsi="Times New Roman" w:cs="Times New Roman"/>
          <w:sz w:val="28"/>
          <w:szCs w:val="28"/>
        </w:rPr>
        <w:t xml:space="preserve"> в 2022</w:t>
      </w:r>
      <w:r>
        <w:rPr>
          <w:rFonts w:ascii="Times New Roman" w:hAnsi="Times New Roman" w:cs="Times New Roman"/>
          <w:sz w:val="28"/>
          <w:szCs w:val="28"/>
        </w:rPr>
        <w:t xml:space="preserve"> году исполнялись на постоянной основе, что в свою очередь привело к </w:t>
      </w:r>
      <w:r w:rsidR="00505A95">
        <w:rPr>
          <w:rFonts w:ascii="Times New Roman" w:hAnsi="Times New Roman" w:cs="Times New Roman"/>
          <w:sz w:val="28"/>
          <w:szCs w:val="28"/>
        </w:rPr>
        <w:t>отсутствию</w:t>
      </w:r>
      <w:r>
        <w:rPr>
          <w:rFonts w:ascii="Times New Roman" w:hAnsi="Times New Roman" w:cs="Times New Roman"/>
          <w:sz w:val="28"/>
          <w:szCs w:val="28"/>
        </w:rPr>
        <w:t xml:space="preserve"> нарушений в сфере закупок.</w:t>
      </w:r>
    </w:p>
    <w:p w:rsidR="00ED2DCD" w:rsidRDefault="00505A95" w:rsidP="005D79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 2022</w:t>
      </w:r>
      <w:r w:rsidR="00ED2DCD">
        <w:rPr>
          <w:rFonts w:ascii="Times New Roman" w:hAnsi="Times New Roman" w:cs="Times New Roman"/>
          <w:sz w:val="28"/>
          <w:szCs w:val="28"/>
        </w:rPr>
        <w:t xml:space="preserve"> год достигнуты следующие значения ключевых показателей эффективности антимонопольного </w:t>
      </w:r>
      <w:proofErr w:type="spellStart"/>
      <w:r w:rsidR="00ED2DCD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ED2DC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D2DCD" w:rsidRDefault="00ED2DCD" w:rsidP="005D79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ED2DCD">
        <w:rPr>
          <w:rFonts w:ascii="Times New Roman" w:hAnsi="Times New Roman" w:cs="Times New Roman"/>
          <w:sz w:val="28"/>
          <w:szCs w:val="28"/>
        </w:rPr>
        <w:t>Факты выдачи А</w:t>
      </w:r>
      <w:r>
        <w:rPr>
          <w:rFonts w:ascii="Times New Roman" w:hAnsi="Times New Roman" w:cs="Times New Roman"/>
          <w:sz w:val="28"/>
          <w:szCs w:val="28"/>
        </w:rPr>
        <w:t>дминистрации пре</w:t>
      </w:r>
      <w:r w:rsidRPr="00ED2DCD">
        <w:rPr>
          <w:rFonts w:ascii="Times New Roman" w:hAnsi="Times New Roman" w:cs="Times New Roman"/>
          <w:sz w:val="28"/>
          <w:szCs w:val="28"/>
        </w:rPr>
        <w:t xml:space="preserve">дупреждения и (или) </w:t>
      </w:r>
      <w:r>
        <w:rPr>
          <w:rFonts w:ascii="Times New Roman" w:hAnsi="Times New Roman" w:cs="Times New Roman"/>
          <w:sz w:val="28"/>
          <w:szCs w:val="28"/>
        </w:rPr>
        <w:t>решения (предписания) по резуль</w:t>
      </w:r>
      <w:r w:rsidRPr="00ED2DCD">
        <w:rPr>
          <w:rFonts w:ascii="Times New Roman" w:hAnsi="Times New Roman" w:cs="Times New Roman"/>
          <w:sz w:val="28"/>
          <w:szCs w:val="28"/>
        </w:rPr>
        <w:t xml:space="preserve">татам рассмотрения </w:t>
      </w:r>
      <w:r>
        <w:rPr>
          <w:rFonts w:ascii="Times New Roman" w:hAnsi="Times New Roman" w:cs="Times New Roman"/>
          <w:sz w:val="28"/>
          <w:szCs w:val="28"/>
        </w:rPr>
        <w:t>дела о нарушении антимонопольно</w:t>
      </w:r>
      <w:r w:rsidRPr="00ED2DCD">
        <w:rPr>
          <w:rFonts w:ascii="Times New Roman" w:hAnsi="Times New Roman" w:cs="Times New Roman"/>
          <w:sz w:val="28"/>
          <w:szCs w:val="28"/>
        </w:rPr>
        <w:t>го законодательства (за исключением предупреждений, решений, предписа</w:t>
      </w:r>
      <w:r>
        <w:rPr>
          <w:rFonts w:ascii="Times New Roman" w:hAnsi="Times New Roman" w:cs="Times New Roman"/>
          <w:sz w:val="28"/>
          <w:szCs w:val="28"/>
        </w:rPr>
        <w:t>ний, отмененных вступившим в за</w:t>
      </w:r>
      <w:r w:rsidRPr="00ED2DCD">
        <w:rPr>
          <w:rFonts w:ascii="Times New Roman" w:hAnsi="Times New Roman" w:cs="Times New Roman"/>
          <w:sz w:val="28"/>
          <w:szCs w:val="28"/>
        </w:rPr>
        <w:t>конную силу судебным актом)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CE3">
        <w:rPr>
          <w:rFonts w:ascii="Times New Roman" w:hAnsi="Times New Roman" w:cs="Times New Roman"/>
          <w:sz w:val="28"/>
          <w:szCs w:val="28"/>
        </w:rPr>
        <w:t>–</w:t>
      </w:r>
      <w:r w:rsidR="00505A95">
        <w:rPr>
          <w:rFonts w:ascii="Times New Roman" w:hAnsi="Times New Roman" w:cs="Times New Roman"/>
          <w:sz w:val="28"/>
          <w:szCs w:val="28"/>
        </w:rPr>
        <w:t xml:space="preserve"> 0</w:t>
      </w:r>
      <w:r w:rsidR="005A3CE3">
        <w:rPr>
          <w:rFonts w:ascii="Times New Roman" w:hAnsi="Times New Roman" w:cs="Times New Roman"/>
          <w:sz w:val="28"/>
          <w:szCs w:val="28"/>
        </w:rPr>
        <w:t>.</w:t>
      </w:r>
    </w:p>
    <w:p w:rsidR="00ED2DCD" w:rsidRDefault="00ED2DCD" w:rsidP="005D79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ED2DCD">
        <w:rPr>
          <w:rFonts w:ascii="Times New Roman" w:hAnsi="Times New Roman" w:cs="Times New Roman"/>
          <w:sz w:val="28"/>
          <w:szCs w:val="28"/>
        </w:rPr>
        <w:t xml:space="preserve">Вступившие в законную силу решения судов о признании </w:t>
      </w:r>
      <w:proofErr w:type="gramStart"/>
      <w:r w:rsidRPr="00ED2DCD"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 w:rsidRPr="00ED2DCD">
        <w:rPr>
          <w:rFonts w:ascii="Times New Roman" w:hAnsi="Times New Roman" w:cs="Times New Roman"/>
          <w:sz w:val="28"/>
          <w:szCs w:val="28"/>
        </w:rPr>
        <w:t xml:space="preserve"> ненормативных правовых актов, незаконными решений и действий (бездействия) Администрации </w:t>
      </w:r>
      <w:proofErr w:type="spellStart"/>
      <w:r w:rsidRPr="00ED2DCD">
        <w:rPr>
          <w:rFonts w:ascii="Times New Roman" w:hAnsi="Times New Roman" w:cs="Times New Roman"/>
          <w:sz w:val="28"/>
          <w:szCs w:val="28"/>
        </w:rPr>
        <w:t>Колпашевского</w:t>
      </w:r>
      <w:proofErr w:type="spellEnd"/>
      <w:r w:rsidRPr="00ED2DCD">
        <w:rPr>
          <w:rFonts w:ascii="Times New Roman" w:hAnsi="Times New Roman" w:cs="Times New Roman"/>
          <w:sz w:val="28"/>
          <w:szCs w:val="28"/>
        </w:rPr>
        <w:t xml:space="preserve"> района, её должностных лиц ввиду их несоответствия антимонопольному законодательству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CE3">
        <w:rPr>
          <w:rFonts w:ascii="Times New Roman" w:hAnsi="Times New Roman" w:cs="Times New Roman"/>
          <w:sz w:val="28"/>
          <w:szCs w:val="28"/>
        </w:rPr>
        <w:t>–</w:t>
      </w:r>
      <w:r w:rsidR="00FA1DBD">
        <w:rPr>
          <w:rFonts w:ascii="Times New Roman" w:hAnsi="Times New Roman" w:cs="Times New Roman"/>
          <w:sz w:val="28"/>
          <w:szCs w:val="28"/>
        </w:rPr>
        <w:t xml:space="preserve"> нет</w:t>
      </w:r>
      <w:r w:rsidR="005A3CE3">
        <w:rPr>
          <w:rFonts w:ascii="Times New Roman" w:hAnsi="Times New Roman" w:cs="Times New Roman"/>
          <w:sz w:val="28"/>
          <w:szCs w:val="28"/>
        </w:rPr>
        <w:t>.</w:t>
      </w:r>
    </w:p>
    <w:p w:rsidR="00ED2DCD" w:rsidRDefault="00ED2DCD" w:rsidP="005D79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ED2DCD">
        <w:rPr>
          <w:rFonts w:ascii="Times New Roman" w:hAnsi="Times New Roman" w:cs="Times New Roman"/>
          <w:sz w:val="28"/>
          <w:szCs w:val="28"/>
        </w:rPr>
        <w:t xml:space="preserve">Жалобы на решения, действия (бездействие) Администрации </w:t>
      </w:r>
      <w:proofErr w:type="spellStart"/>
      <w:r w:rsidRPr="00ED2DCD">
        <w:rPr>
          <w:rFonts w:ascii="Times New Roman" w:hAnsi="Times New Roman" w:cs="Times New Roman"/>
          <w:sz w:val="28"/>
          <w:szCs w:val="28"/>
        </w:rPr>
        <w:t>Колпашевского</w:t>
      </w:r>
      <w:proofErr w:type="spellEnd"/>
      <w:r w:rsidRPr="00ED2DCD">
        <w:rPr>
          <w:rFonts w:ascii="Times New Roman" w:hAnsi="Times New Roman" w:cs="Times New Roman"/>
          <w:sz w:val="28"/>
          <w:szCs w:val="28"/>
        </w:rPr>
        <w:t xml:space="preserve"> района и (или) его должностных лиц, ведущие к ограничению конкуренции и поданные в органы прокуратуры, в случае принятия прокурором решения об удовлетворении указанных жалоб в установленном законодательством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CE3">
        <w:rPr>
          <w:rFonts w:ascii="Times New Roman" w:hAnsi="Times New Roman" w:cs="Times New Roman"/>
          <w:sz w:val="28"/>
          <w:szCs w:val="28"/>
        </w:rPr>
        <w:t>–</w:t>
      </w:r>
      <w:r w:rsidR="00FA1DBD">
        <w:rPr>
          <w:rFonts w:ascii="Times New Roman" w:hAnsi="Times New Roman" w:cs="Times New Roman"/>
          <w:sz w:val="28"/>
          <w:szCs w:val="28"/>
        </w:rPr>
        <w:t xml:space="preserve"> нет</w:t>
      </w:r>
      <w:r w:rsidR="005A3CE3">
        <w:rPr>
          <w:rFonts w:ascii="Times New Roman" w:hAnsi="Times New Roman" w:cs="Times New Roman"/>
          <w:sz w:val="28"/>
          <w:szCs w:val="28"/>
        </w:rPr>
        <w:t>.</w:t>
      </w:r>
    </w:p>
    <w:p w:rsidR="00ED2DCD" w:rsidRDefault="00ED2DCD" w:rsidP="005D79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ED2DCD">
        <w:rPr>
          <w:rFonts w:ascii="Times New Roman" w:hAnsi="Times New Roman" w:cs="Times New Roman"/>
          <w:sz w:val="28"/>
          <w:szCs w:val="28"/>
        </w:rPr>
        <w:t>Выполнение мероприятий по снижению рисков нарушения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выполнены все мероприятия.</w:t>
      </w:r>
    </w:p>
    <w:p w:rsidR="00ED2DCD" w:rsidRDefault="00ED2DCD" w:rsidP="005D79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ED2DCD">
        <w:rPr>
          <w:rFonts w:ascii="Times New Roman" w:hAnsi="Times New Roman" w:cs="Times New Roman"/>
          <w:sz w:val="28"/>
          <w:szCs w:val="28"/>
        </w:rPr>
        <w:t>Доля проектов нормативных правовых актов, связанных с осуществлением деятельности хозяйствующими субъектами, за исключением проектов актов, содержащих сведения, относящиеся к охраняемой законом тайне, прошедших процедуру «общественного контроля»  в общем количестве проектов нормативных правовых актов, подлежащих прохождению такой процедуры</w:t>
      </w:r>
      <w:r w:rsidR="005A3CE3">
        <w:rPr>
          <w:rFonts w:ascii="Times New Roman" w:hAnsi="Times New Roman" w:cs="Times New Roman"/>
          <w:sz w:val="28"/>
          <w:szCs w:val="28"/>
        </w:rPr>
        <w:t xml:space="preserve"> – соответствующие проекты отсутствуют.</w:t>
      </w:r>
      <w:proofErr w:type="gramEnd"/>
    </w:p>
    <w:p w:rsidR="00C255C1" w:rsidRPr="004028F7" w:rsidRDefault="00C255C1" w:rsidP="00442B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384653" w:rsidRPr="004028F7" w:rsidRDefault="00384653" w:rsidP="005D55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384653" w:rsidRPr="004028F7" w:rsidSect="004028F7">
      <w:pgSz w:w="11906" w:h="16838" w:code="9"/>
      <w:pgMar w:top="1134" w:right="850" w:bottom="1134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6E3" w:rsidRDefault="000226E3" w:rsidP="007D3ACF">
      <w:pPr>
        <w:spacing w:after="0" w:line="240" w:lineRule="auto"/>
      </w:pPr>
      <w:r>
        <w:separator/>
      </w:r>
    </w:p>
  </w:endnote>
  <w:endnote w:type="continuationSeparator" w:id="0">
    <w:p w:rsidR="000226E3" w:rsidRDefault="000226E3" w:rsidP="007D3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Courier New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6E3" w:rsidRDefault="000226E3" w:rsidP="007D3ACF">
      <w:pPr>
        <w:spacing w:after="0" w:line="240" w:lineRule="auto"/>
      </w:pPr>
      <w:r>
        <w:separator/>
      </w:r>
    </w:p>
  </w:footnote>
  <w:footnote w:type="continuationSeparator" w:id="0">
    <w:p w:rsidR="000226E3" w:rsidRDefault="000226E3" w:rsidP="007D3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592313"/>
      <w:docPartObj>
        <w:docPartGallery w:val="Page Numbers (Top of Page)"/>
        <w:docPartUnique/>
      </w:docPartObj>
    </w:sdtPr>
    <w:sdtEndPr/>
    <w:sdtContent>
      <w:p w:rsidR="004028F7" w:rsidRDefault="004028F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028F7" w:rsidRDefault="004028F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881515592"/>
      <w:docPartObj>
        <w:docPartGallery w:val="Page Numbers (Top of Page)"/>
        <w:docPartUnique/>
      </w:docPartObj>
    </w:sdtPr>
    <w:sdtEndPr/>
    <w:sdtContent>
      <w:p w:rsidR="004028F7" w:rsidRPr="004028F7" w:rsidRDefault="004028F7">
        <w:pPr>
          <w:pStyle w:val="ac"/>
          <w:jc w:val="center"/>
          <w:rPr>
            <w:rFonts w:ascii="Times New Roman" w:hAnsi="Times New Roman" w:cs="Times New Roman"/>
          </w:rPr>
        </w:pPr>
        <w:r w:rsidRPr="004028F7">
          <w:rPr>
            <w:rFonts w:ascii="Times New Roman" w:hAnsi="Times New Roman" w:cs="Times New Roman"/>
          </w:rPr>
          <w:fldChar w:fldCharType="begin"/>
        </w:r>
        <w:r w:rsidRPr="004028F7">
          <w:rPr>
            <w:rFonts w:ascii="Times New Roman" w:hAnsi="Times New Roman" w:cs="Times New Roman"/>
          </w:rPr>
          <w:instrText>PAGE   \* MERGEFORMAT</w:instrText>
        </w:r>
        <w:r w:rsidRPr="004028F7">
          <w:rPr>
            <w:rFonts w:ascii="Times New Roman" w:hAnsi="Times New Roman" w:cs="Times New Roman"/>
          </w:rPr>
          <w:fldChar w:fldCharType="separate"/>
        </w:r>
        <w:r w:rsidR="00505A95">
          <w:rPr>
            <w:rFonts w:ascii="Times New Roman" w:hAnsi="Times New Roman" w:cs="Times New Roman"/>
            <w:noProof/>
          </w:rPr>
          <w:t>2</w:t>
        </w:r>
        <w:r w:rsidRPr="004028F7">
          <w:rPr>
            <w:rFonts w:ascii="Times New Roman" w:hAnsi="Times New Roman" w:cs="Times New Roman"/>
          </w:rPr>
          <w:fldChar w:fldCharType="end"/>
        </w:r>
      </w:p>
    </w:sdtContent>
  </w:sdt>
  <w:p w:rsidR="004028F7" w:rsidRDefault="004028F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C08CB"/>
    <w:multiLevelType w:val="multilevel"/>
    <w:tmpl w:val="F06AAB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BC7"/>
    <w:rsid w:val="00021969"/>
    <w:rsid w:val="000226E3"/>
    <w:rsid w:val="0003158F"/>
    <w:rsid w:val="00100D89"/>
    <w:rsid w:val="001374A7"/>
    <w:rsid w:val="001B5612"/>
    <w:rsid w:val="001C4AD4"/>
    <w:rsid w:val="00264208"/>
    <w:rsid w:val="00274EB6"/>
    <w:rsid w:val="00280DFB"/>
    <w:rsid w:val="002C5F3B"/>
    <w:rsid w:val="002E03F3"/>
    <w:rsid w:val="00316163"/>
    <w:rsid w:val="0032499A"/>
    <w:rsid w:val="00384653"/>
    <w:rsid w:val="004028F7"/>
    <w:rsid w:val="00406F01"/>
    <w:rsid w:val="0041142A"/>
    <w:rsid w:val="00417E47"/>
    <w:rsid w:val="00430BC7"/>
    <w:rsid w:val="00442B3E"/>
    <w:rsid w:val="00482101"/>
    <w:rsid w:val="00482856"/>
    <w:rsid w:val="00493C63"/>
    <w:rsid w:val="00496755"/>
    <w:rsid w:val="0049699E"/>
    <w:rsid w:val="004A24ED"/>
    <w:rsid w:val="004F0A0D"/>
    <w:rsid w:val="00505A95"/>
    <w:rsid w:val="00580B3B"/>
    <w:rsid w:val="0058454D"/>
    <w:rsid w:val="00587D3B"/>
    <w:rsid w:val="005A3CE3"/>
    <w:rsid w:val="005D55DD"/>
    <w:rsid w:val="005D79F0"/>
    <w:rsid w:val="005F29F9"/>
    <w:rsid w:val="005F3376"/>
    <w:rsid w:val="005F459E"/>
    <w:rsid w:val="00605DFE"/>
    <w:rsid w:val="006121F9"/>
    <w:rsid w:val="00660418"/>
    <w:rsid w:val="00692CB7"/>
    <w:rsid w:val="006B4BF1"/>
    <w:rsid w:val="006D0BE5"/>
    <w:rsid w:val="00736715"/>
    <w:rsid w:val="00761584"/>
    <w:rsid w:val="007708AF"/>
    <w:rsid w:val="00790F19"/>
    <w:rsid w:val="00796285"/>
    <w:rsid w:val="007D2741"/>
    <w:rsid w:val="007D3ACF"/>
    <w:rsid w:val="007D6E4E"/>
    <w:rsid w:val="00821DD9"/>
    <w:rsid w:val="008434F6"/>
    <w:rsid w:val="00844A71"/>
    <w:rsid w:val="008475CA"/>
    <w:rsid w:val="008579E1"/>
    <w:rsid w:val="008938E7"/>
    <w:rsid w:val="008A59C5"/>
    <w:rsid w:val="008A64AA"/>
    <w:rsid w:val="008C4215"/>
    <w:rsid w:val="008F513F"/>
    <w:rsid w:val="00924D7F"/>
    <w:rsid w:val="00963E9F"/>
    <w:rsid w:val="0099565E"/>
    <w:rsid w:val="009C4D1F"/>
    <w:rsid w:val="00A80B5F"/>
    <w:rsid w:val="00AC3673"/>
    <w:rsid w:val="00AC4F0D"/>
    <w:rsid w:val="00AD5BDC"/>
    <w:rsid w:val="00B81DDF"/>
    <w:rsid w:val="00BE042C"/>
    <w:rsid w:val="00C12110"/>
    <w:rsid w:val="00C255C1"/>
    <w:rsid w:val="00C31ED1"/>
    <w:rsid w:val="00C414B8"/>
    <w:rsid w:val="00C90CEB"/>
    <w:rsid w:val="00CC5060"/>
    <w:rsid w:val="00D05AA6"/>
    <w:rsid w:val="00D6322F"/>
    <w:rsid w:val="00D769EB"/>
    <w:rsid w:val="00DB1EE4"/>
    <w:rsid w:val="00DD3BE5"/>
    <w:rsid w:val="00DE1ECB"/>
    <w:rsid w:val="00DE3000"/>
    <w:rsid w:val="00DE36C9"/>
    <w:rsid w:val="00E16DD2"/>
    <w:rsid w:val="00E73A86"/>
    <w:rsid w:val="00E80D2A"/>
    <w:rsid w:val="00EA0D7B"/>
    <w:rsid w:val="00EC7E90"/>
    <w:rsid w:val="00ED2DCD"/>
    <w:rsid w:val="00ED61BC"/>
    <w:rsid w:val="00EF4EED"/>
    <w:rsid w:val="00F05D87"/>
    <w:rsid w:val="00F07543"/>
    <w:rsid w:val="00F32D1E"/>
    <w:rsid w:val="00F838F5"/>
    <w:rsid w:val="00FA1DBD"/>
    <w:rsid w:val="00FB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BC7"/>
    <w:rPr>
      <w:b/>
      <w:bCs/>
    </w:rPr>
  </w:style>
  <w:style w:type="table" w:styleId="a5">
    <w:name w:val="Table Grid"/>
    <w:basedOn w:val="a1"/>
    <w:uiPriority w:val="59"/>
    <w:rsid w:val="007D3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7D3AC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7D3ACF"/>
    <w:pPr>
      <w:shd w:val="clear" w:color="auto" w:fill="FFFFFF"/>
      <w:spacing w:after="0" w:line="0" w:lineRule="atLeast"/>
    </w:pPr>
    <w:rPr>
      <w:sz w:val="27"/>
      <w:szCs w:val="27"/>
    </w:rPr>
  </w:style>
  <w:style w:type="character" w:styleId="a7">
    <w:name w:val="footnote reference"/>
    <w:basedOn w:val="a0"/>
    <w:uiPriority w:val="99"/>
    <w:semiHidden/>
    <w:unhideWhenUsed/>
    <w:rsid w:val="007D3ACF"/>
    <w:rPr>
      <w:vertAlign w:val="superscript"/>
    </w:rPr>
  </w:style>
  <w:style w:type="paragraph" w:customStyle="1" w:styleId="ConsPlusTitle">
    <w:name w:val="ConsPlusTitle"/>
    <w:rsid w:val="007D3A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0A0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05D87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3158F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402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028F7"/>
  </w:style>
  <w:style w:type="paragraph" w:styleId="ae">
    <w:name w:val="footer"/>
    <w:basedOn w:val="a"/>
    <w:link w:val="af"/>
    <w:uiPriority w:val="99"/>
    <w:unhideWhenUsed/>
    <w:rsid w:val="00402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028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BC7"/>
    <w:rPr>
      <w:b/>
      <w:bCs/>
    </w:rPr>
  </w:style>
  <w:style w:type="table" w:styleId="a5">
    <w:name w:val="Table Grid"/>
    <w:basedOn w:val="a1"/>
    <w:uiPriority w:val="59"/>
    <w:rsid w:val="007D3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7D3AC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7D3ACF"/>
    <w:pPr>
      <w:shd w:val="clear" w:color="auto" w:fill="FFFFFF"/>
      <w:spacing w:after="0" w:line="0" w:lineRule="atLeast"/>
    </w:pPr>
    <w:rPr>
      <w:sz w:val="27"/>
      <w:szCs w:val="27"/>
    </w:rPr>
  </w:style>
  <w:style w:type="character" w:styleId="a7">
    <w:name w:val="footnote reference"/>
    <w:basedOn w:val="a0"/>
    <w:uiPriority w:val="99"/>
    <w:semiHidden/>
    <w:unhideWhenUsed/>
    <w:rsid w:val="007D3ACF"/>
    <w:rPr>
      <w:vertAlign w:val="superscript"/>
    </w:rPr>
  </w:style>
  <w:style w:type="paragraph" w:customStyle="1" w:styleId="ConsPlusTitle">
    <w:name w:val="ConsPlusTitle"/>
    <w:rsid w:val="007D3A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0A0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05D87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3158F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402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028F7"/>
  </w:style>
  <w:style w:type="paragraph" w:styleId="ae">
    <w:name w:val="footer"/>
    <w:basedOn w:val="a"/>
    <w:link w:val="af"/>
    <w:uiPriority w:val="99"/>
    <w:unhideWhenUsed/>
    <w:rsid w:val="00402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02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3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903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013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34944-BC7F-46B9-8613-2AA4BEB68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Власова</dc:creator>
  <cp:lastModifiedBy>Лужайцева Марина Николаевна</cp:lastModifiedBy>
  <cp:revision>3</cp:revision>
  <cp:lastPrinted>2021-03-30T04:02:00Z</cp:lastPrinted>
  <dcterms:created xsi:type="dcterms:W3CDTF">2023-02-28T04:22:00Z</dcterms:created>
  <dcterms:modified xsi:type="dcterms:W3CDTF">2023-02-28T04:27:00Z</dcterms:modified>
</cp:coreProperties>
</file>